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rFonts w:cs="Arial" w:ascii="Arial" w:hAnsi="Arial"/>
          <w:b/>
          <w:sz w:val="24"/>
          <w:szCs w:val="24"/>
        </w:rPr>
        <w:t>Supplementary Table One</w:t>
        <w:tab/>
      </w:r>
      <w:r>
        <w:rPr>
          <w:rFonts w:cs="Arial" w:ascii="Arial" w:hAnsi="Arial"/>
          <w:sz w:val="24"/>
          <w:szCs w:val="24"/>
        </w:rPr>
        <w:t>Local guidelines for investigations in children with early developmental impairment and costs over time frame of study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01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rPr/>
        <w:tc>
          <w:tcPr>
            <w:tcW w:w="9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Blood samples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Full blood count £3.75 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Zinc protoporphyrin / haematimics £13.79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Renal function £3.47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Liver function £3.47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Thyroid function £5.94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Bone profile (calcium and phosphate) £3.45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Plasma amino acids £82.00*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Biotinidase £53.00*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Creatine kinase (boys only) £3.41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Lead level £15*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Chromosome (pre 2012 - £120) or microarray (post 2012) £300.00*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Fragile X if suspected by family history £80.00*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Urine samples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Organic acids £82.00*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Glycosaminoglycans (if older than three months) £20.00*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Total cost of all tests on our guideline: </w:t>
            </w:r>
            <w:r>
              <w:rPr>
                <w:rFonts w:cs="Arial" w:ascii="Arial" w:hAnsi="Arial"/>
                <w:sz w:val="24"/>
                <w:szCs w:val="24"/>
              </w:rPr>
              <w:t>£669.28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Other recommendations (not studied in this article)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Audiology referral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Ophthalmology referral – not mandatory, to consider if concerns</w:t>
            </w:r>
          </w:p>
          <w:p>
            <w:pPr>
              <w:pStyle w:val="Normal"/>
              <w:spacing w:lineRule="auto" w:line="240"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Magentic resonance imaging under general anaesthetic </w:t>
            </w:r>
            <w:r>
              <w:rPr>
                <w:rFonts w:cs="Arial" w:ascii="Arial" w:hAnsi="Arial"/>
                <w:sz w:val="24"/>
                <w:szCs w:val="24"/>
              </w:rPr>
              <w:t>(not part of guideline but performed in 55% of cases and found to have high yield) £932.00*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*Costs incurred to a district general hospital for test (as few hospitals seeing children with EDI have metabolic laboratories. All other, unasterisked, costs are local prices)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</w:rPr>
        <w:t>Supplementary table 2:</w:t>
        <w:tab/>
      </w:r>
      <w:r>
        <w:rPr>
          <w:rFonts w:cs="Arial" w:ascii="Arial" w:hAnsi="Arial"/>
          <w:sz w:val="24"/>
          <w:szCs w:val="24"/>
        </w:rPr>
        <w:t>Summary of genetic diagnoses made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Diagnostic microarray results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1p36,13 deletion (3 cases)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1q21 deletion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1q21 duplication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2p25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2p16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2q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4q33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5q23 deletion (two cases)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5q from q34 to q35 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5 microdeletion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7q11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7q35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7p22 duplication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10 duplication with breakpoints within q22.3 and q23.31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11 deletion with breakpoints q14.1 and q22.1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11p15 duplication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12 duplication with breakpoints q14.1 and q15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13q12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15q11 deletion (four cases)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15q13 deletion (four cases)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15q11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15 microduplication (three cases)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16p11 duplication (three cases)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16p13 duplication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17q21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17 duplication with breakpoints q11.1 and q12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17q12 duplication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Deletion of short arm of chromosome 18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18q22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22q11 duplication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22q13 deletion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22q13 deletion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Xq26 deletion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Chromosome Xq24 deletion including UBE2a gene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Chromosome 22q11 duplication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Duplication long arm X chromosome including PLP1 gene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Duplication of X chromosome Xq28 (2 cases)</w:t>
            </w:r>
          </w:p>
          <w:p>
            <w:pPr>
              <w:pStyle w:val="ListParagraph"/>
              <w:spacing w:lineRule="auto" w:line="240" w:before="0" w:after="0"/>
              <w:ind w:left="36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Single gene or clinical diagnoses 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Bardet Biedl Syndrome - 5 cases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Neurofibromatosis type 1 - 3 cases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SLC2A1 (GLUT1) mutation - 2 cases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Rett Syndrome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Angelman syndrome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Kabuki syndrome - 2 cases (1 genetic, 1 clinical)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Cornelia de Lange syndrome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Kleefstra syndrome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Creatine transport deficiency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RYR1 mutation –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ASPM microcephaly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UBE2A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PHGDH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CASK1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COL4A1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SLC9A6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NRXN1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PLP1 (Pelizaeus-Merzbacher disease)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DGUOK (mitochondrial depletion) mutation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SLC7A7 mutation (lysinuric protein intolerance)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PDHA1 mutation (pyruvate dehydrogenase deficiency)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SLC6A8 mutation (creatine transport deficiency)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ETHE1 mutation (ethylmalonic aciduria)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Tetrasomy 18p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Sotos syndrome (clinical diagnosis)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Odho symdrome (clinical diagnosis)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Atypical ataxia telangiectasia (clinical diagnosis, gene negative) - 1 case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Fetal alcohol syndrome - 1 case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 xml:space="preserve">Supplementary figure one: </w:t>
      </w:r>
      <w:r>
        <w:rPr>
          <w:rFonts w:cs="Arial" w:ascii="Arial" w:hAnsi="Arial"/>
          <w:sz w:val="24"/>
          <w:szCs w:val="24"/>
        </w:rPr>
        <w:t>a) The frequency with which additional features were seen in participants; b) the proportion of children with a diagnosis according to additional features; c) the proportion of children with a diagnostic microarray according to additional features; d) the proportion of children with a diagnostic MRI according to additional features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IN" w:eastAsia="zh-CN" w:bidi="hi-IN"/>
    </w:rPr>
  </w:style>
  <w:style w:type="character" w:styleId="ListLabel1">
    <w:name w:val="ListLabel 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LibreOffice/5.3.1.2$Linux_X86_64 LibreOffice_project/30m0$Build-2</Application>
  <Pages>3</Pages>
  <Words>607</Words>
  <Characters>3402</Characters>
  <CharactersWithSpaces>3898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2017-06-20T14:44:46Z</dcterms:created>
  <dc:creator/>
  <dc:description/>
  <dc:language>en-IN</dc:language>
  <cp:lastModifiedBy/>
  <dcterms:modified xsi:type="dcterms:W3CDTF">2017-06-20T14:48:25Z</dcterms:modified>
  <cp:revision>1</cp:revision>
  <dc:subject/>
  <dc:title/>
</cp:coreProperties>
</file>